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0"/>
          <w:szCs w:val="20"/>
        </w:rPr>
      </w:pPr>
      <w:r>
        <w:rPr>
          <w:noProof/>
          <w:lang w:eastAsia="en-GB"/>
        </w:rPr>
        <w:drawing>
          <wp:inline distT="0" distB="0" distL="0" distR="0">
            <wp:extent cx="430653" cy="359786"/>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525" cy="361350"/>
                    </a:xfrm>
                    <a:prstGeom prst="rect">
                      <a:avLst/>
                    </a:prstGeom>
                    <a:noFill/>
                  </pic:spPr>
                </pic:pic>
              </a:graphicData>
            </a:graphic>
          </wp:inline>
        </w:drawing>
      </w:r>
      <w:r>
        <w:rPr>
          <w:b/>
          <w:sz w:val="20"/>
          <w:szCs w:val="20"/>
        </w:rPr>
        <w:tab/>
      </w:r>
      <w:r>
        <w:rPr>
          <w:b/>
          <w:sz w:val="20"/>
          <w:szCs w:val="20"/>
        </w:rPr>
        <w:tab/>
      </w:r>
      <w:r>
        <w:rPr>
          <w:b/>
          <w:sz w:val="20"/>
          <w:szCs w:val="20"/>
        </w:rPr>
        <w:tab/>
      </w:r>
    </w:p>
    <w:p>
      <w:pPr>
        <w:jc w:val="both"/>
        <w:rPr>
          <w:rFonts w:cstheme="minorHAnsi"/>
          <w:b/>
          <w:sz w:val="18"/>
          <w:szCs w:val="18"/>
          <w:u w:val="single"/>
        </w:rPr>
      </w:pPr>
      <w:r>
        <w:rPr>
          <w:rFonts w:cstheme="minorHAnsi"/>
          <w:b/>
          <w:sz w:val="18"/>
          <w:szCs w:val="18"/>
          <w:u w:val="single"/>
        </w:rPr>
        <w:t>Year 8 &amp; 9 Reports – A Quick Guide for Parents</w:t>
      </w:r>
    </w:p>
    <w:p>
      <w:pPr>
        <w:jc w:val="both"/>
        <w:rPr>
          <w:rFonts w:cstheme="minorHAnsi"/>
          <w:sz w:val="18"/>
          <w:szCs w:val="18"/>
        </w:rPr>
      </w:pPr>
      <w:r>
        <w:rPr>
          <w:rFonts w:cstheme="minorHAnsi"/>
          <w:sz w:val="18"/>
          <w:szCs w:val="18"/>
        </w:rPr>
        <w:t>This guide is intended to support you to understand the data on the Report and to signpost you to what to look for in your child’s exercise books.</w:t>
      </w:r>
      <w:bookmarkStart w:id="0" w:name="_GoBack"/>
      <w:bookmarkEnd w:id="0"/>
    </w:p>
    <w:p>
      <w:pPr>
        <w:jc w:val="both"/>
        <w:rPr>
          <w:rFonts w:cstheme="minorHAnsi"/>
          <w:sz w:val="18"/>
          <w:szCs w:val="18"/>
        </w:rPr>
      </w:pPr>
      <w:r>
        <w:rPr>
          <w:rFonts w:cstheme="minorHAnsi"/>
          <w:sz w:val="18"/>
          <w:szCs w:val="18"/>
        </w:rPr>
        <w:t xml:space="preserve">For each subject, your child has been set a </w:t>
      </w:r>
      <w:r>
        <w:rPr>
          <w:rFonts w:cstheme="minorHAnsi"/>
          <w:i/>
          <w:sz w:val="18"/>
          <w:szCs w:val="18"/>
        </w:rPr>
        <w:t>GCSE Target</w:t>
      </w:r>
      <w:r>
        <w:rPr>
          <w:rFonts w:cstheme="minorHAnsi"/>
          <w:sz w:val="18"/>
          <w:szCs w:val="18"/>
        </w:rPr>
        <w:t xml:space="preserve"> by their class teacher.  The data they have based this on is in four parts: KS2 Assessment Data (test results and teacher assessment data); </w:t>
      </w:r>
      <w:proofErr w:type="spellStart"/>
      <w:r>
        <w:rPr>
          <w:rFonts w:cstheme="minorHAnsi"/>
          <w:sz w:val="18"/>
          <w:szCs w:val="18"/>
        </w:rPr>
        <w:t>MidYIS</w:t>
      </w:r>
      <w:proofErr w:type="spellEnd"/>
      <w:r>
        <w:rPr>
          <w:rFonts w:cstheme="minorHAnsi"/>
          <w:sz w:val="18"/>
          <w:szCs w:val="18"/>
        </w:rPr>
        <w:t xml:space="preserve"> test results (</w:t>
      </w:r>
      <w:proofErr w:type="spellStart"/>
      <w:r>
        <w:rPr>
          <w:rFonts w:cstheme="minorHAnsi"/>
          <w:sz w:val="18"/>
          <w:szCs w:val="18"/>
        </w:rPr>
        <w:t>MidYIS</w:t>
      </w:r>
      <w:proofErr w:type="spellEnd"/>
      <w:r>
        <w:rPr>
          <w:rFonts w:cstheme="minorHAnsi"/>
          <w:sz w:val="18"/>
          <w:szCs w:val="18"/>
        </w:rPr>
        <w:t xml:space="preserve"> is a baseline assessment completed by your child early in the autumn term of Year 7 and uses four main areas of assessment to generate estimates for subjects: vocabulary, maths, non-verbal and skills); FFT estimates by subject (FFT is a national, non-profit making company providing estimates of future performance to schools) and their own judgement.  These targets will be reviewed annually as new National Data becomes available and as your child grows and develops as a learner.  As this is a new GCSE system we will continue to monitor and update the targets set to ensure that your child is challenged to achieve their very best throughout their time at school.</w:t>
      </w:r>
    </w:p>
    <w:p>
      <w:pPr>
        <w:jc w:val="both"/>
        <w:rPr>
          <w:rFonts w:cstheme="minorHAnsi"/>
          <w:sz w:val="18"/>
          <w:szCs w:val="18"/>
        </w:rPr>
      </w:pPr>
      <w:r>
        <w:rPr>
          <w:rFonts w:cstheme="minorHAnsi"/>
          <w:sz w:val="18"/>
          <w:szCs w:val="18"/>
        </w:rPr>
        <w:t xml:space="preserve">Below is guidance from </w:t>
      </w:r>
      <w:proofErr w:type="spellStart"/>
      <w:r>
        <w:rPr>
          <w:rFonts w:cstheme="minorHAnsi"/>
          <w:sz w:val="18"/>
          <w:szCs w:val="18"/>
        </w:rPr>
        <w:t>Ofqual</w:t>
      </w:r>
      <w:proofErr w:type="spellEnd"/>
      <w:r>
        <w:rPr>
          <w:rFonts w:cstheme="minorHAnsi"/>
          <w:sz w:val="18"/>
          <w:szCs w:val="18"/>
        </w:rPr>
        <w:t xml:space="preserve"> about the new grades and their equivalences.</w:t>
      </w:r>
    </w:p>
    <w:p>
      <w:pPr>
        <w:jc w:val="both"/>
        <w:rPr>
          <w:rFonts w:cstheme="minorHAnsi"/>
          <w:sz w:val="18"/>
          <w:szCs w:val="18"/>
        </w:rPr>
      </w:pPr>
      <w:r>
        <w:rPr>
          <w:rFonts w:cstheme="minorHAnsi"/>
          <w:noProof/>
          <w:sz w:val="18"/>
          <w:szCs w:val="18"/>
          <w:lang w:eastAsia="en-GB"/>
        </w:rPr>
        <w:drawing>
          <wp:inline distT="0" distB="0" distL="0" distR="0">
            <wp:extent cx="2683153" cy="3409827"/>
            <wp:effectExtent l="0" t="0" r="3175" b="635"/>
            <wp:docPr id="2" name="Picture 2" descr="Image result for new gcse grad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gcse grading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060" cy="3419876"/>
                    </a:xfrm>
                    <a:prstGeom prst="rect">
                      <a:avLst/>
                    </a:prstGeom>
                    <a:noFill/>
                    <a:ln>
                      <a:noFill/>
                    </a:ln>
                  </pic:spPr>
                </pic:pic>
              </a:graphicData>
            </a:graphic>
          </wp:inline>
        </w:drawing>
      </w:r>
    </w:p>
    <w:p>
      <w:pPr>
        <w:jc w:val="both"/>
        <w:rPr>
          <w:rFonts w:cstheme="minorHAnsi"/>
          <w:sz w:val="18"/>
          <w:szCs w:val="18"/>
        </w:rPr>
        <w:sectPr>
          <w:headerReference w:type="default" r:id="rId11"/>
          <w:footerReference w:type="default" r:id="rId12"/>
          <w:pgSz w:w="11906" w:h="16838"/>
          <w:pgMar w:top="720" w:right="720" w:bottom="720" w:left="720" w:header="708" w:footer="708" w:gutter="0"/>
          <w:cols w:space="708"/>
          <w:docGrid w:linePitch="360"/>
        </w:sectPr>
      </w:pPr>
      <w:r>
        <w:rPr>
          <w:rFonts w:cstheme="minorHAnsi"/>
          <w:sz w:val="18"/>
          <w:szCs w:val="18"/>
        </w:rPr>
        <w:t>The report also outlines the effort grade and the progress towards their subject target.  The descriptions for each number are detailed below:</w:t>
      </w:r>
    </w:p>
    <w:p>
      <w:pPr>
        <w:jc w:val="both"/>
        <w:rPr>
          <w:rFonts w:cstheme="minorHAnsi"/>
          <w:sz w:val="18"/>
          <w:szCs w:val="18"/>
        </w:rPr>
      </w:pPr>
    </w:p>
    <w:tbl>
      <w:tblPr>
        <w:tblStyle w:val="TableGrid"/>
        <w:tblW w:w="0" w:type="auto"/>
        <w:tblLook w:val="04A0" w:firstRow="1" w:lastRow="0" w:firstColumn="1" w:lastColumn="0" w:noHBand="0" w:noVBand="1"/>
      </w:tblPr>
      <w:tblGrid>
        <w:gridCol w:w="817"/>
        <w:gridCol w:w="1730"/>
        <w:gridCol w:w="2548"/>
      </w:tblGrid>
      <w:tr>
        <w:tc>
          <w:tcPr>
            <w:tcW w:w="5095" w:type="dxa"/>
            <w:gridSpan w:val="3"/>
          </w:tcPr>
          <w:p>
            <w:pPr>
              <w:jc w:val="both"/>
              <w:rPr>
                <w:rFonts w:cstheme="minorHAnsi"/>
                <w:sz w:val="18"/>
                <w:szCs w:val="18"/>
              </w:rPr>
            </w:pPr>
            <w:r>
              <w:rPr>
                <w:rFonts w:cstheme="minorHAnsi"/>
                <w:sz w:val="18"/>
                <w:szCs w:val="18"/>
              </w:rPr>
              <w:t>Effort</w:t>
            </w:r>
          </w:p>
        </w:tc>
      </w:tr>
      <w:tr>
        <w:tc>
          <w:tcPr>
            <w:tcW w:w="2547" w:type="dxa"/>
            <w:gridSpan w:val="2"/>
          </w:tcPr>
          <w:p>
            <w:pPr>
              <w:jc w:val="both"/>
              <w:rPr>
                <w:rFonts w:cstheme="minorHAnsi"/>
                <w:sz w:val="18"/>
                <w:szCs w:val="18"/>
              </w:rPr>
            </w:pPr>
            <w:r>
              <w:rPr>
                <w:rFonts w:cstheme="minorHAnsi"/>
                <w:sz w:val="18"/>
                <w:szCs w:val="18"/>
              </w:rPr>
              <w:t>1</w:t>
            </w:r>
          </w:p>
        </w:tc>
        <w:tc>
          <w:tcPr>
            <w:tcW w:w="2548" w:type="dxa"/>
          </w:tcPr>
          <w:p>
            <w:pPr>
              <w:jc w:val="both"/>
              <w:rPr>
                <w:rFonts w:cstheme="minorHAnsi"/>
                <w:sz w:val="18"/>
                <w:szCs w:val="18"/>
              </w:rPr>
            </w:pPr>
            <w:r>
              <w:rPr>
                <w:rFonts w:cstheme="minorHAnsi"/>
                <w:sz w:val="18"/>
                <w:szCs w:val="18"/>
              </w:rPr>
              <w:t>Excellent Effort</w:t>
            </w:r>
          </w:p>
        </w:tc>
      </w:tr>
      <w:tr>
        <w:tc>
          <w:tcPr>
            <w:tcW w:w="2547" w:type="dxa"/>
            <w:gridSpan w:val="2"/>
          </w:tcPr>
          <w:p>
            <w:pPr>
              <w:jc w:val="both"/>
              <w:rPr>
                <w:rFonts w:cstheme="minorHAnsi"/>
                <w:sz w:val="18"/>
                <w:szCs w:val="18"/>
              </w:rPr>
            </w:pPr>
            <w:r>
              <w:rPr>
                <w:rFonts w:cstheme="minorHAnsi"/>
                <w:sz w:val="18"/>
                <w:szCs w:val="18"/>
              </w:rPr>
              <w:t>2</w:t>
            </w:r>
          </w:p>
        </w:tc>
        <w:tc>
          <w:tcPr>
            <w:tcW w:w="2548" w:type="dxa"/>
          </w:tcPr>
          <w:p>
            <w:pPr>
              <w:jc w:val="both"/>
              <w:rPr>
                <w:rFonts w:cstheme="minorHAnsi"/>
                <w:sz w:val="18"/>
                <w:szCs w:val="18"/>
              </w:rPr>
            </w:pPr>
            <w:r>
              <w:rPr>
                <w:rFonts w:cstheme="minorHAnsi"/>
                <w:sz w:val="18"/>
                <w:szCs w:val="18"/>
              </w:rPr>
              <w:t>Good Effort</w:t>
            </w:r>
          </w:p>
        </w:tc>
      </w:tr>
      <w:tr>
        <w:tc>
          <w:tcPr>
            <w:tcW w:w="2547" w:type="dxa"/>
            <w:gridSpan w:val="2"/>
          </w:tcPr>
          <w:p>
            <w:pPr>
              <w:jc w:val="both"/>
              <w:rPr>
                <w:rFonts w:cstheme="minorHAnsi"/>
                <w:sz w:val="18"/>
                <w:szCs w:val="18"/>
              </w:rPr>
            </w:pPr>
            <w:r>
              <w:rPr>
                <w:rFonts w:cstheme="minorHAnsi"/>
                <w:sz w:val="18"/>
                <w:szCs w:val="18"/>
              </w:rPr>
              <w:t>3</w:t>
            </w:r>
          </w:p>
        </w:tc>
        <w:tc>
          <w:tcPr>
            <w:tcW w:w="2548" w:type="dxa"/>
          </w:tcPr>
          <w:p>
            <w:pPr>
              <w:jc w:val="both"/>
              <w:rPr>
                <w:rFonts w:cstheme="minorHAnsi"/>
                <w:sz w:val="18"/>
                <w:szCs w:val="18"/>
              </w:rPr>
            </w:pPr>
            <w:r>
              <w:rPr>
                <w:rFonts w:cstheme="minorHAnsi"/>
                <w:sz w:val="18"/>
                <w:szCs w:val="18"/>
              </w:rPr>
              <w:t>Minor Concerns</w:t>
            </w:r>
          </w:p>
        </w:tc>
      </w:tr>
      <w:tr>
        <w:tc>
          <w:tcPr>
            <w:tcW w:w="2547" w:type="dxa"/>
            <w:gridSpan w:val="2"/>
          </w:tcPr>
          <w:p>
            <w:pPr>
              <w:jc w:val="both"/>
              <w:rPr>
                <w:rFonts w:cstheme="minorHAnsi"/>
                <w:sz w:val="18"/>
                <w:szCs w:val="18"/>
              </w:rPr>
            </w:pPr>
            <w:r>
              <w:rPr>
                <w:rFonts w:cstheme="minorHAnsi"/>
                <w:sz w:val="18"/>
                <w:szCs w:val="18"/>
              </w:rPr>
              <w:t>4</w:t>
            </w:r>
          </w:p>
        </w:tc>
        <w:tc>
          <w:tcPr>
            <w:tcW w:w="2548" w:type="dxa"/>
          </w:tcPr>
          <w:p>
            <w:pPr>
              <w:jc w:val="both"/>
              <w:rPr>
                <w:rFonts w:cstheme="minorHAnsi"/>
                <w:sz w:val="18"/>
                <w:szCs w:val="18"/>
              </w:rPr>
            </w:pPr>
            <w:r>
              <w:rPr>
                <w:rFonts w:cstheme="minorHAnsi"/>
                <w:sz w:val="18"/>
                <w:szCs w:val="18"/>
              </w:rPr>
              <w:t>Major Concerns</w:t>
            </w:r>
          </w:p>
        </w:tc>
      </w:tr>
      <w:tr>
        <w:tc>
          <w:tcPr>
            <w:tcW w:w="5095" w:type="dxa"/>
            <w:gridSpan w:val="3"/>
          </w:tcPr>
          <w:p>
            <w:pPr>
              <w:jc w:val="both"/>
              <w:rPr>
                <w:rFonts w:cstheme="minorHAnsi"/>
                <w:sz w:val="18"/>
                <w:szCs w:val="18"/>
              </w:rPr>
            </w:pPr>
            <w:r>
              <w:rPr>
                <w:rFonts w:cstheme="minorHAnsi"/>
                <w:sz w:val="18"/>
                <w:szCs w:val="18"/>
              </w:rPr>
              <w:lastRenderedPageBreak/>
              <w:t>Progress towards target band</w:t>
            </w:r>
          </w:p>
        </w:tc>
      </w:tr>
      <w:tr>
        <w:tc>
          <w:tcPr>
            <w:tcW w:w="817" w:type="dxa"/>
          </w:tcPr>
          <w:p>
            <w:pPr>
              <w:jc w:val="both"/>
              <w:rPr>
                <w:rFonts w:cstheme="minorHAnsi"/>
                <w:sz w:val="18"/>
                <w:szCs w:val="18"/>
              </w:rPr>
            </w:pPr>
            <w:r>
              <w:rPr>
                <w:rFonts w:cstheme="minorHAnsi"/>
                <w:sz w:val="18"/>
                <w:szCs w:val="18"/>
              </w:rPr>
              <w:t>1</w:t>
            </w:r>
          </w:p>
        </w:tc>
        <w:tc>
          <w:tcPr>
            <w:tcW w:w="4278" w:type="dxa"/>
            <w:gridSpan w:val="2"/>
          </w:tcPr>
          <w:p>
            <w:pPr>
              <w:jc w:val="both"/>
              <w:rPr>
                <w:rFonts w:cstheme="minorHAnsi"/>
                <w:sz w:val="18"/>
                <w:szCs w:val="18"/>
              </w:rPr>
            </w:pPr>
            <w:r>
              <w:rPr>
                <w:rFonts w:cstheme="minorHAnsi"/>
                <w:sz w:val="18"/>
                <w:szCs w:val="18"/>
              </w:rPr>
              <w:t>Exceptional Progress</w:t>
            </w:r>
          </w:p>
        </w:tc>
      </w:tr>
      <w:tr>
        <w:tc>
          <w:tcPr>
            <w:tcW w:w="817" w:type="dxa"/>
          </w:tcPr>
          <w:p>
            <w:pPr>
              <w:jc w:val="both"/>
              <w:rPr>
                <w:rFonts w:cstheme="minorHAnsi"/>
                <w:sz w:val="18"/>
                <w:szCs w:val="18"/>
              </w:rPr>
            </w:pPr>
            <w:r>
              <w:rPr>
                <w:rFonts w:cstheme="minorHAnsi"/>
                <w:sz w:val="18"/>
                <w:szCs w:val="18"/>
              </w:rPr>
              <w:t>2</w:t>
            </w:r>
          </w:p>
        </w:tc>
        <w:tc>
          <w:tcPr>
            <w:tcW w:w="4278" w:type="dxa"/>
            <w:gridSpan w:val="2"/>
          </w:tcPr>
          <w:p>
            <w:pPr>
              <w:jc w:val="both"/>
              <w:rPr>
                <w:rFonts w:cstheme="minorHAnsi"/>
                <w:sz w:val="18"/>
                <w:szCs w:val="18"/>
              </w:rPr>
            </w:pPr>
            <w:r>
              <w:rPr>
                <w:rFonts w:cstheme="minorHAnsi"/>
                <w:sz w:val="18"/>
                <w:szCs w:val="18"/>
              </w:rPr>
              <w:t>Better than Expected Progress</w:t>
            </w:r>
          </w:p>
        </w:tc>
      </w:tr>
      <w:tr>
        <w:tc>
          <w:tcPr>
            <w:tcW w:w="817" w:type="dxa"/>
          </w:tcPr>
          <w:p>
            <w:pPr>
              <w:jc w:val="both"/>
              <w:rPr>
                <w:rFonts w:cstheme="minorHAnsi"/>
                <w:sz w:val="18"/>
                <w:szCs w:val="18"/>
              </w:rPr>
            </w:pPr>
            <w:r>
              <w:rPr>
                <w:rFonts w:cstheme="minorHAnsi"/>
                <w:sz w:val="18"/>
                <w:szCs w:val="18"/>
              </w:rPr>
              <w:t>3</w:t>
            </w:r>
          </w:p>
        </w:tc>
        <w:tc>
          <w:tcPr>
            <w:tcW w:w="4278" w:type="dxa"/>
            <w:gridSpan w:val="2"/>
          </w:tcPr>
          <w:p>
            <w:pPr>
              <w:jc w:val="both"/>
              <w:rPr>
                <w:rFonts w:cstheme="minorHAnsi"/>
                <w:sz w:val="18"/>
                <w:szCs w:val="18"/>
              </w:rPr>
            </w:pPr>
            <w:r>
              <w:rPr>
                <w:rFonts w:cstheme="minorHAnsi"/>
                <w:sz w:val="18"/>
                <w:szCs w:val="18"/>
              </w:rPr>
              <w:t>Expected Progress</w:t>
            </w:r>
          </w:p>
        </w:tc>
      </w:tr>
      <w:tr>
        <w:tc>
          <w:tcPr>
            <w:tcW w:w="817" w:type="dxa"/>
          </w:tcPr>
          <w:p>
            <w:pPr>
              <w:jc w:val="both"/>
              <w:rPr>
                <w:rFonts w:cstheme="minorHAnsi"/>
                <w:sz w:val="18"/>
                <w:szCs w:val="18"/>
              </w:rPr>
            </w:pPr>
            <w:r>
              <w:rPr>
                <w:rFonts w:cstheme="minorHAnsi"/>
                <w:sz w:val="18"/>
                <w:szCs w:val="18"/>
              </w:rPr>
              <w:t>4</w:t>
            </w:r>
          </w:p>
        </w:tc>
        <w:tc>
          <w:tcPr>
            <w:tcW w:w="4278" w:type="dxa"/>
            <w:gridSpan w:val="2"/>
          </w:tcPr>
          <w:p>
            <w:pPr>
              <w:jc w:val="both"/>
              <w:rPr>
                <w:rFonts w:cstheme="minorHAnsi"/>
                <w:sz w:val="18"/>
                <w:szCs w:val="18"/>
              </w:rPr>
            </w:pPr>
            <w:r>
              <w:rPr>
                <w:rFonts w:cstheme="minorHAnsi"/>
                <w:sz w:val="18"/>
                <w:szCs w:val="18"/>
              </w:rPr>
              <w:t>Not making Expected Progress</w:t>
            </w:r>
          </w:p>
        </w:tc>
      </w:tr>
      <w:tr>
        <w:tc>
          <w:tcPr>
            <w:tcW w:w="817" w:type="dxa"/>
          </w:tcPr>
          <w:p>
            <w:pPr>
              <w:jc w:val="both"/>
              <w:rPr>
                <w:rFonts w:cstheme="minorHAnsi"/>
                <w:sz w:val="18"/>
                <w:szCs w:val="18"/>
              </w:rPr>
            </w:pPr>
            <w:r>
              <w:rPr>
                <w:rFonts w:cstheme="minorHAnsi"/>
                <w:sz w:val="18"/>
                <w:szCs w:val="18"/>
              </w:rPr>
              <w:t>5</w:t>
            </w:r>
          </w:p>
        </w:tc>
        <w:tc>
          <w:tcPr>
            <w:tcW w:w="4278" w:type="dxa"/>
            <w:gridSpan w:val="2"/>
          </w:tcPr>
          <w:p>
            <w:pPr>
              <w:jc w:val="both"/>
              <w:rPr>
                <w:rFonts w:cstheme="minorHAnsi"/>
                <w:sz w:val="18"/>
                <w:szCs w:val="18"/>
              </w:rPr>
            </w:pPr>
            <w:r>
              <w:rPr>
                <w:rFonts w:cstheme="minorHAnsi"/>
                <w:sz w:val="18"/>
                <w:szCs w:val="18"/>
              </w:rPr>
              <w:t>Not making Progress</w:t>
            </w:r>
          </w:p>
        </w:tc>
      </w:tr>
    </w:tbl>
    <w:p>
      <w:pPr>
        <w:jc w:val="both"/>
        <w:rPr>
          <w:rFonts w:cstheme="minorHAnsi"/>
          <w:sz w:val="18"/>
          <w:szCs w:val="18"/>
        </w:rPr>
        <w:sectPr>
          <w:type w:val="continuous"/>
          <w:pgSz w:w="11906" w:h="16838"/>
          <w:pgMar w:top="720" w:right="720" w:bottom="720" w:left="720" w:header="708" w:footer="708" w:gutter="0"/>
          <w:cols w:num="2" w:space="708"/>
          <w:docGrid w:linePitch="360"/>
        </w:sectPr>
      </w:pPr>
    </w:p>
    <w:p>
      <w:pPr>
        <w:jc w:val="both"/>
        <w:rPr>
          <w:rFonts w:cstheme="minorHAnsi"/>
          <w:sz w:val="18"/>
          <w:szCs w:val="18"/>
        </w:rPr>
      </w:pPr>
    </w:p>
    <w:p>
      <w:pPr>
        <w:jc w:val="both"/>
        <w:rPr>
          <w:rFonts w:cstheme="minorHAnsi"/>
          <w:sz w:val="18"/>
          <w:szCs w:val="18"/>
        </w:rPr>
      </w:pPr>
      <w:r>
        <w:rPr>
          <w:rFonts w:cstheme="minorHAnsi"/>
          <w:sz w:val="18"/>
          <w:szCs w:val="18"/>
        </w:rPr>
        <w:t xml:space="preserve">For a fuller picture of your child’s progress you will need to look at their books.  </w:t>
      </w:r>
    </w:p>
    <w:p>
      <w:pPr>
        <w:jc w:val="both"/>
        <w:rPr>
          <w:rFonts w:cstheme="minorHAnsi"/>
          <w:sz w:val="18"/>
          <w:szCs w:val="18"/>
        </w:rPr>
      </w:pPr>
      <w:r>
        <w:rPr>
          <w:rFonts w:cstheme="minorHAnsi"/>
          <w:sz w:val="18"/>
          <w:szCs w:val="18"/>
        </w:rPr>
        <w:t xml:space="preserve">Inside each book you will find a </w:t>
      </w:r>
      <w:r>
        <w:rPr>
          <w:rFonts w:cstheme="minorHAnsi"/>
          <w:i/>
          <w:sz w:val="18"/>
          <w:szCs w:val="18"/>
        </w:rPr>
        <w:t>subject progress grid</w:t>
      </w:r>
      <w:r>
        <w:rPr>
          <w:rFonts w:cstheme="minorHAnsi"/>
          <w:sz w:val="18"/>
          <w:szCs w:val="18"/>
        </w:rPr>
        <w:t xml:space="preserve"> detailing the year 8 or 9 criteria for the GCSE Grades.  We are still in the process of developing how to use these effectively in lessons with the students to demonstrate progress.  </w:t>
      </w:r>
    </w:p>
    <w:p>
      <w:pPr>
        <w:jc w:val="both"/>
        <w:rPr>
          <w:rFonts w:cstheme="minorHAnsi"/>
          <w:sz w:val="18"/>
          <w:szCs w:val="18"/>
        </w:rPr>
      </w:pPr>
      <w:r>
        <w:rPr>
          <w:rFonts w:cstheme="minorHAnsi"/>
          <w:sz w:val="18"/>
          <w:szCs w:val="18"/>
        </w:rPr>
        <w:lastRenderedPageBreak/>
        <w:t xml:space="preserve">Subjects may be: </w:t>
      </w:r>
    </w:p>
    <w:p>
      <w:pPr>
        <w:pStyle w:val="ListParagraph"/>
        <w:numPr>
          <w:ilvl w:val="0"/>
          <w:numId w:val="5"/>
        </w:numPr>
        <w:jc w:val="both"/>
        <w:rPr>
          <w:rFonts w:cstheme="minorHAnsi"/>
          <w:sz w:val="18"/>
          <w:szCs w:val="18"/>
        </w:rPr>
      </w:pPr>
      <w:r>
        <w:rPr>
          <w:rFonts w:cstheme="minorHAnsi"/>
          <w:sz w:val="18"/>
          <w:szCs w:val="18"/>
        </w:rPr>
        <w:t xml:space="preserve">Highlighting this sheet to show where your child is at currently and using this it is easy to identify what their next steps in learning are.  </w:t>
      </w:r>
    </w:p>
    <w:p>
      <w:pPr>
        <w:pStyle w:val="ListParagraph"/>
        <w:numPr>
          <w:ilvl w:val="0"/>
          <w:numId w:val="5"/>
        </w:numPr>
        <w:jc w:val="both"/>
        <w:rPr>
          <w:rFonts w:cstheme="minorHAnsi"/>
          <w:sz w:val="18"/>
          <w:szCs w:val="18"/>
        </w:rPr>
      </w:pPr>
      <w:r>
        <w:rPr>
          <w:rFonts w:cstheme="minorHAnsi"/>
          <w:sz w:val="18"/>
          <w:szCs w:val="18"/>
        </w:rPr>
        <w:t>The students themselves are developing an awareness of how to use these progress grids to self-assess and set their own next steps in learning.</w:t>
      </w:r>
    </w:p>
    <w:p>
      <w:pPr>
        <w:pStyle w:val="ListParagraph"/>
        <w:numPr>
          <w:ilvl w:val="0"/>
          <w:numId w:val="5"/>
        </w:numPr>
        <w:jc w:val="both"/>
        <w:rPr>
          <w:rFonts w:cstheme="minorHAnsi"/>
          <w:sz w:val="18"/>
          <w:szCs w:val="18"/>
        </w:rPr>
      </w:pPr>
      <w:r>
        <w:rPr>
          <w:rFonts w:cstheme="minorHAnsi"/>
          <w:sz w:val="18"/>
          <w:szCs w:val="18"/>
        </w:rPr>
        <w:t xml:space="preserve">Other subject areas are using the GCSE grades in their marking and assessment to be cross referenced with the progress grid to track progress and identify targets.  </w:t>
      </w:r>
    </w:p>
    <w:p>
      <w:pPr>
        <w:jc w:val="both"/>
        <w:rPr>
          <w:rFonts w:cstheme="minorHAnsi"/>
          <w:sz w:val="18"/>
          <w:szCs w:val="18"/>
        </w:rPr>
      </w:pPr>
      <w:r>
        <w:rPr>
          <w:rFonts w:cstheme="minorHAnsi"/>
          <w:sz w:val="18"/>
          <w:szCs w:val="18"/>
        </w:rPr>
        <w:t>The books and progress grids have become a very important resource for students, teachers and parents to track progress and understand exactly what the next steps in learning are.  If you have any questions or feedback Dr Tinker will be available at parents’ evening during the Spring Term 2018.</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sectPr>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Comic Sans MS" w:hAnsi="Comic Sans MS"/>
        <w:i/>
        <w:sz w:val="18"/>
        <w:szCs w:val="18"/>
      </w:rPr>
    </w:pPr>
    <w:r>
      <w:rPr>
        <w:rFonts w:ascii="Comic Sans MS" w:hAnsi="Comic Sans MS"/>
        <w:i/>
        <w:sz w:val="18"/>
        <w:szCs w:val="18"/>
      </w:rPr>
      <w:t>‘We aim to be one of Shropshire’s and the country's leading Comprehensive schools, providing a transformative experience for all pupils, empowering them to reach their full academic potential and equipping them to live successful and fulfilling adult lives.’.</w:t>
    </w:r>
  </w:p>
  <w:p>
    <w:pPr>
      <w:pStyle w:val="Footer"/>
      <w:rPr>
        <w:rFonts w:ascii="Comic Sans MS" w:hAnsi="Comic Sans MS"/>
        <w:i/>
        <w:sz w:val="18"/>
        <w:szCs w:val="18"/>
      </w:rPr>
    </w:pPr>
  </w:p>
  <w:p>
    <w:pPr>
      <w:pStyle w:val="Footer"/>
      <w:rPr>
        <w:rFonts w:ascii="Comic Sans MS" w:hAnsi="Comic Sans MS"/>
        <w:i/>
        <w:sz w:val="18"/>
        <w:szCs w:val="18"/>
      </w:rPr>
    </w:pPr>
    <w:r>
      <w:rPr>
        <w:rFonts w:ascii="Comic Sans MS" w:hAnsi="Comic Sans MS"/>
        <w:i/>
        <w:sz w:val="18"/>
        <w:szCs w:val="18"/>
      </w:rPr>
      <w:t>JT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reeForm"/>
      <w:jc w:val="center"/>
      <w:rPr>
        <w:rFonts w:ascii="Comic Sans MS" w:eastAsia="Times New Roman" w:hAnsi="Comic Sans MS"/>
        <w:b/>
        <w:i/>
        <w:color w:val="auto"/>
        <w:sz w:val="18"/>
        <w:szCs w:val="18"/>
        <w:lang w:bidi="x-none"/>
      </w:rPr>
    </w:pPr>
    <w:r>
      <w:rPr>
        <w:rFonts w:ascii="Comic Sans MS" w:eastAsia="Times New Roman" w:hAnsi="Comic Sans MS"/>
        <w:b/>
        <w:i/>
        <w:color w:val="auto"/>
        <w:sz w:val="18"/>
        <w:szCs w:val="18"/>
        <w:lang w:bidi="x-none"/>
      </w:rPr>
      <w:t>‘</w:t>
    </w:r>
    <w:proofErr w:type="gramStart"/>
    <w:r>
      <w:rPr>
        <w:rFonts w:ascii="Comic Sans MS" w:eastAsia="Times New Roman" w:hAnsi="Comic Sans MS"/>
        <w:b/>
        <w:i/>
        <w:color w:val="auto"/>
        <w:sz w:val="18"/>
        <w:szCs w:val="18"/>
        <w:lang w:bidi="x-none"/>
      </w:rPr>
      <w:t>excellence</w:t>
    </w:r>
    <w:proofErr w:type="gramEnd"/>
    <w:r>
      <w:rPr>
        <w:rFonts w:ascii="Comic Sans MS" w:eastAsia="Times New Roman" w:hAnsi="Comic Sans MS"/>
        <w:b/>
        <w:i/>
        <w:color w:val="auto"/>
        <w:sz w:val="18"/>
        <w:szCs w:val="18"/>
        <w:lang w:bidi="x-none"/>
      </w:rPr>
      <w:t>, innovation and tradition meet to fulfil the needs and aspirations of all members of our school community’</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6F8"/>
    <w:multiLevelType w:val="hybridMultilevel"/>
    <w:tmpl w:val="1EFCF296"/>
    <w:lvl w:ilvl="0" w:tplc="AD9A70D6">
      <w:numFmt w:val="bullet"/>
      <w:lvlText w:val="-"/>
      <w:lvlJc w:val="left"/>
      <w:pPr>
        <w:ind w:left="1710" w:hanging="360"/>
      </w:pPr>
      <w:rPr>
        <w:rFonts w:ascii="Calibri" w:eastAsiaTheme="minorHAnsi" w:hAnsi="Calibri" w:cstheme="minorHAnsi"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
    <w:nsid w:val="0F876D60"/>
    <w:multiLevelType w:val="hybridMultilevel"/>
    <w:tmpl w:val="A03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6291D"/>
    <w:multiLevelType w:val="hybridMultilevel"/>
    <w:tmpl w:val="CA3E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124168"/>
    <w:multiLevelType w:val="hybridMultilevel"/>
    <w:tmpl w:val="2FAA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F2084"/>
    <w:multiLevelType w:val="hybridMultilevel"/>
    <w:tmpl w:val="601201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reeForm">
    <w:name w:val="Free Form"/>
    <w:pPr>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reeForm">
    <w:name w:val="Free Form"/>
    <w:pPr>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2479">
      <w:bodyDiv w:val="1"/>
      <w:marLeft w:val="0"/>
      <w:marRight w:val="0"/>
      <w:marTop w:val="0"/>
      <w:marBottom w:val="0"/>
      <w:divBdr>
        <w:top w:val="none" w:sz="0" w:space="0" w:color="auto"/>
        <w:left w:val="none" w:sz="0" w:space="0" w:color="auto"/>
        <w:bottom w:val="none" w:sz="0" w:space="0" w:color="auto"/>
        <w:right w:val="none" w:sz="0" w:space="0" w:color="auto"/>
      </w:divBdr>
      <w:divsChild>
        <w:div w:id="98641470">
          <w:marLeft w:val="0"/>
          <w:marRight w:val="0"/>
          <w:marTop w:val="0"/>
          <w:marBottom w:val="0"/>
          <w:divBdr>
            <w:top w:val="none" w:sz="0" w:space="0" w:color="auto"/>
            <w:left w:val="none" w:sz="0" w:space="0" w:color="auto"/>
            <w:bottom w:val="none" w:sz="0" w:space="0" w:color="auto"/>
            <w:right w:val="none" w:sz="0" w:space="0" w:color="auto"/>
          </w:divBdr>
          <w:divsChild>
            <w:div w:id="554515190">
              <w:marLeft w:val="0"/>
              <w:marRight w:val="0"/>
              <w:marTop w:val="0"/>
              <w:marBottom w:val="0"/>
              <w:divBdr>
                <w:top w:val="none" w:sz="0" w:space="0" w:color="auto"/>
                <w:left w:val="none" w:sz="0" w:space="0" w:color="auto"/>
                <w:bottom w:val="none" w:sz="0" w:space="0" w:color="auto"/>
                <w:right w:val="none" w:sz="0" w:space="0" w:color="auto"/>
              </w:divBdr>
              <w:divsChild>
                <w:div w:id="21465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7915-DED5-4FBE-942D-B3EA050C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Julia Kear</cp:lastModifiedBy>
  <cp:revision>3</cp:revision>
  <cp:lastPrinted>2017-12-20T10:13:00Z</cp:lastPrinted>
  <dcterms:created xsi:type="dcterms:W3CDTF">2017-12-20T10:13:00Z</dcterms:created>
  <dcterms:modified xsi:type="dcterms:W3CDTF">2018-03-08T16:10:00Z</dcterms:modified>
</cp:coreProperties>
</file>